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289" w:type="dxa"/>
        <w:shd w:val="clear" w:color="auto" w:fill="F6F6F6"/>
        <w:tblCellMar>
          <w:top w:w="284" w:type="dxa"/>
          <w:bottom w:w="284" w:type="dxa"/>
        </w:tblCellMar>
        <w:tblLook w:val="04A0" w:firstRow="1" w:lastRow="0" w:firstColumn="1" w:lastColumn="0" w:noHBand="0" w:noVBand="1"/>
      </w:tblPr>
      <w:tblGrid>
        <w:gridCol w:w="2830"/>
        <w:gridCol w:w="6810"/>
      </w:tblGrid>
      <w:tr w:rsidR="006D4CBF" w:rsidRPr="00FE5440" w:rsidTr="006D4CBF">
        <w:trPr>
          <w:trHeight w:val="274"/>
        </w:trPr>
        <w:tc>
          <w:tcPr>
            <w:tcW w:w="2830" w:type="dxa"/>
            <w:shd w:val="clear" w:color="auto" w:fill="F6F6F6"/>
            <w:vAlign w:val="center"/>
          </w:tcPr>
          <w:p w:rsidR="00FE5440" w:rsidRPr="00FE5440" w:rsidRDefault="00FE5440" w:rsidP="006D4CBF">
            <w:pPr>
              <w:spacing w:before="100" w:beforeAutospacing="1" w:after="100" w:afterAutospacing="1" w:line="240" w:lineRule="auto"/>
              <w:ind w:left="167"/>
            </w:pPr>
            <w:bookmarkStart w:id="0" w:name="_GoBack" w:colFirst="1" w:colLast="1"/>
            <w:r w:rsidRPr="00FE5440">
              <w:t>Name:</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rsidRPr="00FE5440">
              <w:t xml:space="preserve">Name of </w:t>
            </w:r>
            <w:r>
              <w:t>s</w:t>
            </w:r>
            <w:r w:rsidRPr="00FE5440">
              <w:t>kill</w:t>
            </w:r>
            <w:r>
              <w:t>, t</w:t>
            </w:r>
            <w:r w:rsidRPr="00FE5440">
              <w:t xml:space="preserve">ask or </w:t>
            </w:r>
            <w:r>
              <w:t>k</w:t>
            </w:r>
            <w:r w:rsidRPr="00FE5440">
              <w:t>nowledge</w:t>
            </w:r>
            <w:r>
              <w:t xml:space="preserve"> a</w:t>
            </w:r>
            <w:r w:rsidRPr="00FE5440">
              <w:t>rea</w:t>
            </w:r>
            <w:r>
              <w:t>.</w:t>
            </w:r>
          </w:p>
        </w:tc>
      </w:tr>
      <w:tr w:rsidR="006D4CBF" w:rsidRPr="00FE5440" w:rsidTr="006D4CBF">
        <w:trPr>
          <w:trHeight w:val="695"/>
        </w:trPr>
        <w:tc>
          <w:tcPr>
            <w:tcW w:w="2830" w:type="dxa"/>
            <w:shd w:val="clear" w:color="auto" w:fill="F6F6F6"/>
            <w:vAlign w:val="center"/>
          </w:tcPr>
          <w:p w:rsidR="00FE5440" w:rsidRPr="00FE5440" w:rsidRDefault="00FE5440" w:rsidP="006D4CBF">
            <w:pPr>
              <w:spacing w:before="100" w:beforeAutospacing="1" w:after="100" w:afterAutospacing="1" w:line="240" w:lineRule="auto"/>
              <w:ind w:left="167"/>
            </w:pPr>
            <w:r w:rsidRPr="00FE5440">
              <w:t>Basic Information</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rsidRPr="00FE5440">
              <w:t>Basic information on who is completing the knowledge transfer and any special transition or handover arrangements.</w:t>
            </w:r>
          </w:p>
        </w:tc>
      </w:tr>
      <w:tr w:rsidR="006D4CBF" w:rsidRPr="00FE5440" w:rsidTr="006D4CBF">
        <w:tc>
          <w:tcPr>
            <w:tcW w:w="2830" w:type="dxa"/>
            <w:shd w:val="clear" w:color="auto" w:fill="F6F6F6"/>
            <w:vAlign w:val="center"/>
          </w:tcPr>
          <w:p w:rsidR="00FE5440" w:rsidRPr="00FE5440" w:rsidRDefault="00FE5440" w:rsidP="006D4CBF">
            <w:pPr>
              <w:spacing w:before="100" w:beforeAutospacing="1" w:after="100" w:afterAutospacing="1" w:line="240" w:lineRule="auto"/>
              <w:ind w:left="167"/>
            </w:pPr>
            <w:r w:rsidRPr="00FE5440">
              <w:t>Objectives &amp; Responsibilities</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The objectives of the role and key responsibilities, including any direct reports.</w:t>
            </w:r>
          </w:p>
        </w:tc>
      </w:tr>
      <w:tr w:rsidR="006D4CBF" w:rsidRPr="00FE5440" w:rsidTr="006D4CBF">
        <w:trPr>
          <w:trHeight w:val="750"/>
        </w:trPr>
        <w:tc>
          <w:tcPr>
            <w:tcW w:w="2830" w:type="dxa"/>
            <w:shd w:val="clear" w:color="auto" w:fill="F6F6F6"/>
            <w:vAlign w:val="center"/>
          </w:tcPr>
          <w:p w:rsidR="00FE5440" w:rsidRPr="00FE5440" w:rsidRDefault="00FE5440" w:rsidP="006D4CBF">
            <w:pPr>
              <w:spacing w:before="100" w:beforeAutospacing="1" w:after="100" w:afterAutospacing="1" w:line="240" w:lineRule="auto"/>
              <w:ind w:left="167"/>
            </w:pPr>
            <w:r>
              <w:t>Deliverables</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Information on deliverables such as a full list of work in progress and a project or task status report for all deliverables including those that have not yet been started.</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Meetings</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A schedule of meetings – dates, times and attendees for all regular meetings and an intranet link to the database of minutes and agendas.</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Contacts</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A full list of key relationships and contacts both internal and external.</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Compliance &amp; Reporting</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Information on any internal or external compliance and reporting requirements.</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Information</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Details on where key information is stored and how it can be accessed. Usually, this will be elsewhere on the intranet and so there needs to be a link to the relevant intranet page where all the essential reference material, standard operating procedures, policy documents, manuals and so on are stored.</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Budgetary &amp; Financial</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Budgetary information including personal reporting responsibilities as well as the overall team or project financials.</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Risks</w:t>
            </w:r>
          </w:p>
        </w:tc>
        <w:tc>
          <w:tcPr>
            <w:tcW w:w="6810" w:type="dxa"/>
            <w:shd w:val="clear" w:color="auto" w:fill="F6F6F6"/>
            <w:vAlign w:val="center"/>
          </w:tcPr>
          <w:p w:rsidR="00FE5440" w:rsidRPr="00FE5440" w:rsidRDefault="00FE5440" w:rsidP="006D4CBF">
            <w:pPr>
              <w:spacing w:before="100" w:beforeAutospacing="1" w:after="100" w:afterAutospacing="1" w:line="240" w:lineRule="auto"/>
              <w:ind w:left="176" w:right="180"/>
            </w:pPr>
            <w:r>
              <w:t>Risks – details on the management and mitigation of risks that are assigned to the role and the wider team.</w:t>
            </w:r>
          </w:p>
        </w:tc>
      </w:tr>
      <w:tr w:rsidR="006D4CBF" w:rsidRPr="00FE5440" w:rsidTr="006D4CBF">
        <w:tc>
          <w:tcPr>
            <w:tcW w:w="2830" w:type="dxa"/>
            <w:shd w:val="clear" w:color="auto" w:fill="F6F6F6"/>
            <w:vAlign w:val="center"/>
          </w:tcPr>
          <w:p w:rsidR="00FE5440" w:rsidRPr="00FE5440" w:rsidRDefault="0093536D" w:rsidP="006D4CBF">
            <w:pPr>
              <w:spacing w:before="100" w:beforeAutospacing="1" w:after="100" w:afterAutospacing="1" w:line="240" w:lineRule="auto"/>
              <w:ind w:left="167"/>
            </w:pPr>
            <w:r>
              <w:t>Lessons Learned</w:t>
            </w:r>
          </w:p>
        </w:tc>
        <w:tc>
          <w:tcPr>
            <w:tcW w:w="6810" w:type="dxa"/>
            <w:shd w:val="clear" w:color="auto" w:fill="F6F6F6"/>
            <w:vAlign w:val="center"/>
          </w:tcPr>
          <w:p w:rsidR="00FE5440" w:rsidRPr="00FE5440" w:rsidRDefault="0093536D" w:rsidP="006D4CBF">
            <w:pPr>
              <w:spacing w:before="100" w:beforeAutospacing="1" w:after="100" w:afterAutospacing="1" w:line="240" w:lineRule="auto"/>
              <w:ind w:left="176" w:right="180"/>
            </w:pPr>
            <w:r>
              <w:t>Lessons learned – this reflects the need to transfer tacit wisdom as well as hard facts and figures. It’s an opportunity to pass on the accumulated insights, understanding and expertise that the current job holder possesses.</w:t>
            </w:r>
          </w:p>
        </w:tc>
      </w:tr>
      <w:bookmarkEnd w:id="0"/>
    </w:tbl>
    <w:p w:rsidR="006A2442" w:rsidRPr="00FE5440" w:rsidRDefault="006A2442" w:rsidP="00FE5440">
      <w:pPr>
        <w:rPr>
          <w:sz w:val="20"/>
        </w:rPr>
      </w:pPr>
    </w:p>
    <w:sectPr w:rsidR="006A2442" w:rsidRPr="00FE5440" w:rsidSect="006D4CBF">
      <w:pgSz w:w="11900" w:h="16840"/>
      <w:pgMar w:top="96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33"/>
    <w:multiLevelType w:val="multilevel"/>
    <w:tmpl w:val="F94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C2B8E"/>
    <w:multiLevelType w:val="multilevel"/>
    <w:tmpl w:val="65D8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C769A"/>
    <w:multiLevelType w:val="multilevel"/>
    <w:tmpl w:val="A90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63DB3"/>
    <w:multiLevelType w:val="multilevel"/>
    <w:tmpl w:val="84AC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34B89"/>
    <w:multiLevelType w:val="multilevel"/>
    <w:tmpl w:val="18E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80DBC"/>
    <w:multiLevelType w:val="multilevel"/>
    <w:tmpl w:val="2E66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271FF"/>
    <w:multiLevelType w:val="multilevel"/>
    <w:tmpl w:val="47B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11E29"/>
    <w:multiLevelType w:val="multilevel"/>
    <w:tmpl w:val="9D42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C30EB"/>
    <w:multiLevelType w:val="multilevel"/>
    <w:tmpl w:val="EB0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01004"/>
    <w:multiLevelType w:val="hybridMultilevel"/>
    <w:tmpl w:val="5C9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12791"/>
    <w:multiLevelType w:val="multilevel"/>
    <w:tmpl w:val="5288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F0DD7"/>
    <w:multiLevelType w:val="hybridMultilevel"/>
    <w:tmpl w:val="681C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5"/>
  </w:num>
  <w:num w:numId="5">
    <w:abstractNumId w:val="10"/>
  </w:num>
  <w:num w:numId="6">
    <w:abstractNumId w:val="3"/>
  </w:num>
  <w:num w:numId="7">
    <w:abstractNumId w:val="6"/>
  </w:num>
  <w:num w:numId="8">
    <w:abstractNumId w:val="4"/>
  </w:num>
  <w:num w:numId="9">
    <w:abstractNumId w:val="2"/>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FD"/>
    <w:rsid w:val="000834C0"/>
    <w:rsid w:val="005D0CB5"/>
    <w:rsid w:val="006A2442"/>
    <w:rsid w:val="006D4CBF"/>
    <w:rsid w:val="006E3B4A"/>
    <w:rsid w:val="007900B8"/>
    <w:rsid w:val="0093536D"/>
    <w:rsid w:val="00C631FD"/>
    <w:rsid w:val="00FE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0F3140"/>
  <w14:defaultImageDpi w14:val="32767"/>
  <w15:chartTrackingRefBased/>
  <w15:docId w15:val="{D7348DF3-5727-524A-BBCE-D509146B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31FD"/>
    <w:pPr>
      <w:spacing w:after="160" w:line="259"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1FD"/>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0962">
      <w:bodyDiv w:val="1"/>
      <w:marLeft w:val="0"/>
      <w:marRight w:val="0"/>
      <w:marTop w:val="0"/>
      <w:marBottom w:val="0"/>
      <w:divBdr>
        <w:top w:val="none" w:sz="0" w:space="0" w:color="auto"/>
        <w:left w:val="none" w:sz="0" w:space="0" w:color="auto"/>
        <w:bottom w:val="none" w:sz="0" w:space="0" w:color="auto"/>
        <w:right w:val="none" w:sz="0" w:space="0" w:color="auto"/>
      </w:divBdr>
    </w:div>
    <w:div w:id="385683189">
      <w:bodyDiv w:val="1"/>
      <w:marLeft w:val="0"/>
      <w:marRight w:val="0"/>
      <w:marTop w:val="0"/>
      <w:marBottom w:val="0"/>
      <w:divBdr>
        <w:top w:val="none" w:sz="0" w:space="0" w:color="auto"/>
        <w:left w:val="none" w:sz="0" w:space="0" w:color="auto"/>
        <w:bottom w:val="none" w:sz="0" w:space="0" w:color="auto"/>
        <w:right w:val="none" w:sz="0" w:space="0" w:color="auto"/>
      </w:divBdr>
    </w:div>
    <w:div w:id="660352599">
      <w:bodyDiv w:val="1"/>
      <w:marLeft w:val="0"/>
      <w:marRight w:val="0"/>
      <w:marTop w:val="0"/>
      <w:marBottom w:val="0"/>
      <w:divBdr>
        <w:top w:val="none" w:sz="0" w:space="0" w:color="auto"/>
        <w:left w:val="none" w:sz="0" w:space="0" w:color="auto"/>
        <w:bottom w:val="none" w:sz="0" w:space="0" w:color="auto"/>
        <w:right w:val="none" w:sz="0" w:space="0" w:color="auto"/>
      </w:divBdr>
    </w:div>
    <w:div w:id="990207323">
      <w:bodyDiv w:val="1"/>
      <w:marLeft w:val="0"/>
      <w:marRight w:val="0"/>
      <w:marTop w:val="0"/>
      <w:marBottom w:val="0"/>
      <w:divBdr>
        <w:top w:val="none" w:sz="0" w:space="0" w:color="auto"/>
        <w:left w:val="none" w:sz="0" w:space="0" w:color="auto"/>
        <w:bottom w:val="none" w:sz="0" w:space="0" w:color="auto"/>
        <w:right w:val="none" w:sz="0" w:space="0" w:color="auto"/>
      </w:divBdr>
    </w:div>
    <w:div w:id="1029525234">
      <w:bodyDiv w:val="1"/>
      <w:marLeft w:val="0"/>
      <w:marRight w:val="0"/>
      <w:marTop w:val="0"/>
      <w:marBottom w:val="0"/>
      <w:divBdr>
        <w:top w:val="none" w:sz="0" w:space="0" w:color="auto"/>
        <w:left w:val="none" w:sz="0" w:space="0" w:color="auto"/>
        <w:bottom w:val="none" w:sz="0" w:space="0" w:color="auto"/>
        <w:right w:val="none" w:sz="0" w:space="0" w:color="auto"/>
      </w:divBdr>
    </w:div>
    <w:div w:id="1249122952">
      <w:bodyDiv w:val="1"/>
      <w:marLeft w:val="0"/>
      <w:marRight w:val="0"/>
      <w:marTop w:val="0"/>
      <w:marBottom w:val="0"/>
      <w:divBdr>
        <w:top w:val="none" w:sz="0" w:space="0" w:color="auto"/>
        <w:left w:val="none" w:sz="0" w:space="0" w:color="auto"/>
        <w:bottom w:val="none" w:sz="0" w:space="0" w:color="auto"/>
        <w:right w:val="none" w:sz="0" w:space="0" w:color="auto"/>
      </w:divBdr>
    </w:div>
    <w:div w:id="1396931789">
      <w:bodyDiv w:val="1"/>
      <w:marLeft w:val="0"/>
      <w:marRight w:val="0"/>
      <w:marTop w:val="0"/>
      <w:marBottom w:val="0"/>
      <w:divBdr>
        <w:top w:val="none" w:sz="0" w:space="0" w:color="auto"/>
        <w:left w:val="none" w:sz="0" w:space="0" w:color="auto"/>
        <w:bottom w:val="none" w:sz="0" w:space="0" w:color="auto"/>
        <w:right w:val="none" w:sz="0" w:space="0" w:color="auto"/>
      </w:divBdr>
    </w:div>
    <w:div w:id="1438717900">
      <w:bodyDiv w:val="1"/>
      <w:marLeft w:val="0"/>
      <w:marRight w:val="0"/>
      <w:marTop w:val="0"/>
      <w:marBottom w:val="0"/>
      <w:divBdr>
        <w:top w:val="none" w:sz="0" w:space="0" w:color="auto"/>
        <w:left w:val="none" w:sz="0" w:space="0" w:color="auto"/>
        <w:bottom w:val="none" w:sz="0" w:space="0" w:color="auto"/>
        <w:right w:val="none" w:sz="0" w:space="0" w:color="auto"/>
      </w:divBdr>
    </w:div>
    <w:div w:id="1576167273">
      <w:bodyDiv w:val="1"/>
      <w:marLeft w:val="0"/>
      <w:marRight w:val="0"/>
      <w:marTop w:val="0"/>
      <w:marBottom w:val="0"/>
      <w:divBdr>
        <w:top w:val="none" w:sz="0" w:space="0" w:color="auto"/>
        <w:left w:val="none" w:sz="0" w:space="0" w:color="auto"/>
        <w:bottom w:val="none" w:sz="0" w:space="0" w:color="auto"/>
        <w:right w:val="none" w:sz="0" w:space="0" w:color="auto"/>
      </w:divBdr>
    </w:div>
    <w:div w:id="20139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McMinn</dc:creator>
  <cp:keywords/>
  <dc:description/>
  <cp:lastModifiedBy>Mike McMinn</cp:lastModifiedBy>
  <cp:revision>3</cp:revision>
  <dcterms:created xsi:type="dcterms:W3CDTF">2018-05-04T01:09:00Z</dcterms:created>
  <dcterms:modified xsi:type="dcterms:W3CDTF">2018-05-04T01:13:00Z</dcterms:modified>
</cp:coreProperties>
</file>